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Växjö kommunfullmäktige</w:t>
      </w:r>
    </w:p>
    <w:p>
      <w:pPr>
        <w:pStyle w:val="Heading1"/>
      </w:pPr>
      <w:r>
        <w:t xml:space="preserve">Höjd kvalitet och valfrihet i Växjös hemtjänst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Växjö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Äldreomsorgen i Växjö har personalbrist och klagomål har ökat enligt IVO 2025. Brukarnöjdheten ligger på 72 % (Kolada). Valfrihet är begränsad jämfört med grannkommuner.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Växjö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höja ersättningen till utförare med 3 % för att säkra bemanning.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brukarenkät med krav på minst 80 % nöjdhet som mål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kvalitetsuppföljning två gånger per år till omsorgsnämnden.</w:t>
      </w:r>
    </w:p>
    <w:p>
      <w:pPr>
        <w:spacing w:before="360"/>
      </w:pPr>
    </w:p>
    <w:p>
      <w:r>
        <w:t xml:space="preserve">Växjö,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Växjö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2026-06-06T01:48:33.650Z</dcterms:created>
  <dcterms:modified xsi:type="dcterms:W3CDTF">2026-06-06T01:48:33.650Z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